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8673"/>
        <w:rPr>
          <w:rFonts w:ascii="Times New Roman"/>
          <w:sz w:val="20"/>
        </w:rPr>
      </w:pPr>
      <w:r>
        <w:rPr>
          <w:rFonts w:ascii="Times New Roman"/>
          <w:sz w:val="20"/>
        </w:rPr>
        <w:drawing>
          <wp:inline distT="0" distB="0" distL="0" distR="0">
            <wp:extent cx="1113114" cy="65246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13114" cy="65246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10"/>
        <w:rPr>
          <w:rFonts w:ascii="Times New Roman"/>
          <w:sz w:val="26"/>
        </w:rPr>
      </w:pPr>
    </w:p>
    <w:p>
      <w:pPr>
        <w:pStyle w:val="Title"/>
      </w:pPr>
      <w:r>
        <w:rPr>
          <w:color w:val="DA291C"/>
        </w:rPr>
        <w:t>Gateway</w:t>
      </w:r>
      <w:r>
        <w:rPr>
          <w:color w:val="DA291C"/>
          <w:spacing w:val="-13"/>
        </w:rPr>
        <w:t> </w:t>
      </w:r>
      <w:r>
        <w:rPr>
          <w:color w:val="DA291C"/>
        </w:rPr>
        <w:t>Standardisation</w:t>
      </w:r>
      <w:r>
        <w:rPr>
          <w:color w:val="DA291C"/>
          <w:spacing w:val="-8"/>
        </w:rPr>
        <w:t> </w:t>
      </w:r>
      <w:r>
        <w:rPr>
          <w:color w:val="DA291C"/>
          <w:spacing w:val="-2"/>
        </w:rPr>
        <w:t>Declaration</w:t>
      </w:r>
    </w:p>
    <w:p>
      <w:pPr>
        <w:spacing w:before="0"/>
        <w:ind w:left="110" w:right="0" w:firstLine="0"/>
        <w:jc w:val="left"/>
        <w:rPr>
          <w:b/>
          <w:sz w:val="32"/>
        </w:rPr>
      </w:pPr>
      <w:r>
        <w:rPr>
          <w:b/>
          <w:sz w:val="32"/>
        </w:rPr>
        <w:t>T</w:t>
      </w:r>
      <w:r>
        <w:rPr>
          <w:b/>
          <w:spacing w:val="-4"/>
          <w:sz w:val="32"/>
        </w:rPr>
        <w:t> </w:t>
      </w:r>
      <w:r>
        <w:rPr>
          <w:b/>
          <w:sz w:val="32"/>
        </w:rPr>
        <w:t>Level</w:t>
      </w:r>
      <w:r>
        <w:rPr>
          <w:b/>
          <w:spacing w:val="-4"/>
          <w:sz w:val="32"/>
        </w:rPr>
        <w:t> </w:t>
      </w:r>
      <w:r>
        <w:rPr>
          <w:b/>
          <w:sz w:val="32"/>
        </w:rPr>
        <w:t>Technical</w:t>
      </w:r>
      <w:r>
        <w:rPr>
          <w:b/>
          <w:spacing w:val="-4"/>
          <w:sz w:val="32"/>
        </w:rPr>
        <w:t> </w:t>
      </w:r>
      <w:r>
        <w:rPr>
          <w:b/>
          <w:spacing w:val="-2"/>
          <w:sz w:val="32"/>
        </w:rPr>
        <w:t>Qualifications</w:t>
      </w:r>
    </w:p>
    <w:p>
      <w:pPr>
        <w:pStyle w:val="BodyText"/>
        <w:rPr>
          <w:b/>
          <w:sz w:val="36"/>
        </w:rPr>
      </w:pPr>
    </w:p>
    <w:p>
      <w:pPr>
        <w:pStyle w:val="BodyText"/>
        <w:spacing w:before="239"/>
        <w:ind w:left="110"/>
      </w:pPr>
      <w:r>
        <w:rPr/>
        <w:t>To</w:t>
      </w:r>
      <w:r>
        <w:rPr>
          <w:spacing w:val="-5"/>
        </w:rPr>
        <w:t> </w:t>
      </w:r>
      <w:r>
        <w:rPr/>
        <w:t>be</w:t>
      </w:r>
      <w:r>
        <w:rPr>
          <w:spacing w:val="-4"/>
        </w:rPr>
        <w:t> </w:t>
      </w:r>
      <w:r>
        <w:rPr/>
        <w:t>completed</w:t>
      </w:r>
      <w:r>
        <w:rPr>
          <w:spacing w:val="-4"/>
        </w:rPr>
        <w:t> </w:t>
      </w:r>
      <w:r>
        <w:rPr/>
        <w:t>by</w:t>
      </w:r>
      <w:r>
        <w:rPr>
          <w:spacing w:val="-5"/>
        </w:rPr>
        <w:t> </w:t>
      </w:r>
      <w:r>
        <w:rPr/>
        <w:t>the</w:t>
      </w:r>
      <w:r>
        <w:rPr>
          <w:spacing w:val="-5"/>
        </w:rPr>
        <w:t> </w:t>
      </w:r>
      <w:r>
        <w:rPr>
          <w:spacing w:val="-2"/>
        </w:rPr>
        <w:t>provider</w:t>
      </w:r>
    </w:p>
    <w:p>
      <w:pPr>
        <w:pStyle w:val="BodyText"/>
        <w:spacing w:before="2"/>
        <w:rPr>
          <w:sz w:val="15"/>
        </w:rPr>
      </w:pPr>
    </w:p>
    <w:tbl>
      <w:tblPr>
        <w:tblW w:w="0" w:type="auto"/>
        <w:jc w:val="left"/>
        <w:tblCellSpacing w:w="7" w:type="dxa"/>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6"/>
        <w:gridCol w:w="5240"/>
      </w:tblGrid>
      <w:tr>
        <w:trPr>
          <w:trHeight w:val="568" w:hRule="atLeast"/>
        </w:trPr>
        <w:tc>
          <w:tcPr>
            <w:tcW w:w="4946" w:type="dxa"/>
            <w:shd w:val="clear" w:color="auto" w:fill="DA291C"/>
          </w:tcPr>
          <w:p>
            <w:pPr>
              <w:pStyle w:val="TableParagraph"/>
              <w:spacing w:before="120"/>
              <w:ind w:left="93"/>
              <w:rPr>
                <w:b/>
                <w:sz w:val="22"/>
              </w:rPr>
            </w:pPr>
            <w:r>
              <w:rPr>
                <w:b/>
                <w:color w:val="FFFFFF"/>
                <w:sz w:val="22"/>
              </w:rPr>
              <w:t>Centre</w:t>
            </w:r>
            <w:r>
              <w:rPr>
                <w:b/>
                <w:color w:val="FFFFFF"/>
                <w:spacing w:val="-9"/>
                <w:sz w:val="22"/>
              </w:rPr>
              <w:t> </w:t>
            </w:r>
            <w:r>
              <w:rPr>
                <w:b/>
                <w:color w:val="FFFFFF"/>
                <w:spacing w:val="-2"/>
                <w:sz w:val="22"/>
              </w:rPr>
              <w:t>name:</w:t>
            </w:r>
          </w:p>
        </w:tc>
        <w:tc>
          <w:tcPr>
            <w:tcW w:w="5240" w:type="dxa"/>
            <w:shd w:val="clear" w:color="auto" w:fill="DA291C"/>
          </w:tcPr>
          <w:p>
            <w:pPr>
              <w:pStyle w:val="TableParagraph"/>
              <w:spacing w:before="120"/>
              <w:ind w:left="100"/>
              <w:rPr>
                <w:b/>
                <w:sz w:val="22"/>
              </w:rPr>
            </w:pPr>
            <w:r>
              <w:rPr>
                <w:b/>
                <w:color w:val="FFFFFF"/>
                <w:sz w:val="22"/>
              </w:rPr>
              <w:t>Centre</w:t>
            </w:r>
            <w:r>
              <w:rPr>
                <w:b/>
                <w:color w:val="FFFFFF"/>
                <w:spacing w:val="-9"/>
                <w:sz w:val="22"/>
              </w:rPr>
              <w:t> </w:t>
            </w:r>
            <w:r>
              <w:rPr>
                <w:b/>
                <w:color w:val="FFFFFF"/>
                <w:spacing w:val="-2"/>
                <w:sz w:val="22"/>
              </w:rPr>
              <w:t>number:</w:t>
            </w:r>
          </w:p>
        </w:tc>
      </w:tr>
      <w:tr>
        <w:trPr>
          <w:trHeight w:val="569" w:hRule="atLeast"/>
        </w:trPr>
        <w:tc>
          <w:tcPr>
            <w:tcW w:w="4946" w:type="dxa"/>
            <w:shd w:val="clear" w:color="auto" w:fill="F7F7F7"/>
          </w:tcPr>
          <w:p>
            <w:pPr>
              <w:pStyle w:val="TableParagraph"/>
              <w:rPr>
                <w:rFonts w:ascii="Times New Roman"/>
                <w:sz w:val="22"/>
              </w:rPr>
            </w:pPr>
          </w:p>
        </w:tc>
        <w:tc>
          <w:tcPr>
            <w:tcW w:w="5240" w:type="dxa"/>
            <w:shd w:val="clear" w:color="auto" w:fill="F7F7F7"/>
          </w:tcPr>
          <w:p>
            <w:pPr>
              <w:pStyle w:val="TableParagraph"/>
              <w:rPr>
                <w:rFonts w:ascii="Times New Roman"/>
                <w:sz w:val="22"/>
              </w:rPr>
            </w:pPr>
          </w:p>
        </w:tc>
      </w:tr>
      <w:tr>
        <w:trPr>
          <w:trHeight w:val="568" w:hRule="atLeast"/>
        </w:trPr>
        <w:tc>
          <w:tcPr>
            <w:tcW w:w="4946" w:type="dxa"/>
            <w:shd w:val="clear" w:color="auto" w:fill="DA291C"/>
          </w:tcPr>
          <w:p>
            <w:pPr>
              <w:pStyle w:val="TableParagraph"/>
              <w:spacing w:before="119"/>
              <w:ind w:left="93"/>
              <w:rPr>
                <w:b/>
                <w:sz w:val="22"/>
              </w:rPr>
            </w:pPr>
            <w:r>
              <w:rPr>
                <w:b/>
                <w:color w:val="FFFFFF"/>
                <w:sz w:val="22"/>
              </w:rPr>
              <w:t>Qualification</w:t>
            </w:r>
            <w:r>
              <w:rPr>
                <w:b/>
                <w:color w:val="FFFFFF"/>
                <w:spacing w:val="-15"/>
                <w:sz w:val="22"/>
              </w:rPr>
              <w:t> </w:t>
            </w:r>
            <w:r>
              <w:rPr>
                <w:b/>
                <w:color w:val="FFFFFF"/>
                <w:spacing w:val="-2"/>
                <w:sz w:val="22"/>
              </w:rPr>
              <w:t>title:</w:t>
            </w:r>
          </w:p>
        </w:tc>
        <w:tc>
          <w:tcPr>
            <w:tcW w:w="5240" w:type="dxa"/>
            <w:shd w:val="clear" w:color="auto" w:fill="DA291C"/>
          </w:tcPr>
          <w:p>
            <w:pPr>
              <w:pStyle w:val="TableParagraph"/>
              <w:spacing w:before="119"/>
              <w:ind w:left="100"/>
              <w:rPr>
                <w:b/>
                <w:sz w:val="22"/>
              </w:rPr>
            </w:pPr>
            <w:r>
              <w:rPr>
                <w:b/>
                <w:color w:val="FFFFFF"/>
                <w:sz w:val="22"/>
              </w:rPr>
              <w:t>Occupational</w:t>
            </w:r>
            <w:r>
              <w:rPr>
                <w:b/>
                <w:color w:val="FFFFFF"/>
                <w:spacing w:val="-15"/>
                <w:sz w:val="22"/>
              </w:rPr>
              <w:t> </w:t>
            </w:r>
            <w:r>
              <w:rPr>
                <w:b/>
                <w:color w:val="FFFFFF"/>
                <w:spacing w:val="-2"/>
                <w:sz w:val="22"/>
              </w:rPr>
              <w:t>Specialism:</w:t>
            </w:r>
          </w:p>
        </w:tc>
      </w:tr>
      <w:tr>
        <w:trPr>
          <w:trHeight w:val="569" w:hRule="atLeast"/>
        </w:trPr>
        <w:tc>
          <w:tcPr>
            <w:tcW w:w="4946" w:type="dxa"/>
            <w:shd w:val="clear" w:color="auto" w:fill="F7F7F7"/>
          </w:tcPr>
          <w:p>
            <w:pPr>
              <w:pStyle w:val="TableParagraph"/>
              <w:rPr>
                <w:rFonts w:ascii="Times New Roman"/>
                <w:sz w:val="22"/>
              </w:rPr>
            </w:pPr>
          </w:p>
        </w:tc>
        <w:tc>
          <w:tcPr>
            <w:tcW w:w="5240" w:type="dxa"/>
            <w:shd w:val="clear" w:color="auto" w:fill="F7F7F7"/>
          </w:tcPr>
          <w:p>
            <w:pPr>
              <w:pStyle w:val="TableParagraph"/>
              <w:rPr>
                <w:rFonts w:ascii="Times New Roman"/>
                <w:sz w:val="22"/>
              </w:rPr>
            </w:pPr>
          </w:p>
        </w:tc>
      </w:tr>
    </w:tbl>
    <w:p>
      <w:pPr>
        <w:pStyle w:val="BodyText"/>
        <w:rPr>
          <w:sz w:val="24"/>
        </w:rPr>
      </w:pPr>
    </w:p>
    <w:p>
      <w:pPr>
        <w:pStyle w:val="BodyText"/>
        <w:spacing w:before="154"/>
        <w:ind w:left="110"/>
      </w:pPr>
      <w:r>
        <w:rPr/>
        <w:t>Please</w:t>
      </w:r>
      <w:r>
        <w:rPr>
          <w:spacing w:val="-6"/>
        </w:rPr>
        <w:t> </w:t>
      </w:r>
      <w:r>
        <w:rPr/>
        <w:t>tick</w:t>
      </w:r>
      <w:r>
        <w:rPr>
          <w:spacing w:val="-6"/>
        </w:rPr>
        <w:t> </w:t>
      </w:r>
      <w:r>
        <w:rPr/>
        <w:t>the</w:t>
      </w:r>
      <w:r>
        <w:rPr>
          <w:spacing w:val="-6"/>
        </w:rPr>
        <w:t> </w:t>
      </w:r>
      <w:r>
        <w:rPr/>
        <w:t>relevant</w:t>
      </w:r>
      <w:r>
        <w:rPr>
          <w:spacing w:val="-7"/>
        </w:rPr>
        <w:t> </w:t>
      </w:r>
      <w:r>
        <w:rPr/>
        <w:t>statements</w:t>
      </w:r>
      <w:r>
        <w:rPr>
          <w:spacing w:val="-6"/>
        </w:rPr>
        <w:t> </w:t>
      </w:r>
      <w:r>
        <w:rPr/>
        <w:t>below</w:t>
      </w:r>
      <w:r>
        <w:rPr>
          <w:spacing w:val="-6"/>
        </w:rPr>
        <w:t> </w:t>
      </w:r>
      <w:r>
        <w:rPr/>
        <w:t>and</w:t>
      </w:r>
      <w:r>
        <w:rPr>
          <w:spacing w:val="-6"/>
        </w:rPr>
        <w:t> </w:t>
      </w:r>
      <w:r>
        <w:rPr/>
        <w:t>then</w:t>
      </w:r>
      <w:r>
        <w:rPr>
          <w:spacing w:val="-6"/>
        </w:rPr>
        <w:t> </w:t>
      </w:r>
      <w:r>
        <w:rPr/>
        <w:t>add</w:t>
      </w:r>
      <w:r>
        <w:rPr>
          <w:spacing w:val="-6"/>
        </w:rPr>
        <w:t> </w:t>
      </w:r>
      <w:r>
        <w:rPr/>
        <w:t>the</w:t>
      </w:r>
      <w:r>
        <w:rPr>
          <w:spacing w:val="-6"/>
        </w:rPr>
        <w:t> </w:t>
      </w:r>
      <w:r>
        <w:rPr/>
        <w:t>Assessor</w:t>
      </w:r>
      <w:r>
        <w:rPr>
          <w:spacing w:val="-6"/>
        </w:rPr>
        <w:t> </w:t>
      </w:r>
      <w:r>
        <w:rPr/>
        <w:t>and</w:t>
      </w:r>
      <w:r>
        <w:rPr>
          <w:spacing w:val="-6"/>
        </w:rPr>
        <w:t> </w:t>
      </w:r>
      <w:r>
        <w:rPr/>
        <w:t>IQA</w:t>
      </w:r>
      <w:r>
        <w:rPr>
          <w:spacing w:val="-6"/>
        </w:rPr>
        <w:t> </w:t>
      </w:r>
      <w:r>
        <w:rPr>
          <w:spacing w:val="-2"/>
        </w:rPr>
        <w:t>names.</w:t>
      </w:r>
    </w:p>
    <w:p>
      <w:pPr>
        <w:pStyle w:val="ListParagraph"/>
        <w:numPr>
          <w:ilvl w:val="0"/>
          <w:numId w:val="1"/>
        </w:numPr>
        <w:tabs>
          <w:tab w:pos="464" w:val="left" w:leader="none"/>
        </w:tabs>
        <w:spacing w:line="276" w:lineRule="auto" w:before="160" w:after="0"/>
        <w:ind w:left="417" w:right="328" w:hanging="307"/>
        <w:jc w:val="left"/>
        <w:rPr>
          <w:sz w:val="22"/>
        </w:rPr>
      </w:pPr>
      <w:r>
        <w:rPr/>
        <w:tab/>
      </w:r>
      <w:r>
        <w:rPr>
          <w:sz w:val="22"/>
        </w:rPr>
        <w:t>I</w:t>
      </w:r>
      <w:r>
        <w:rPr>
          <w:spacing w:val="-2"/>
          <w:sz w:val="22"/>
        </w:rPr>
        <w:t> </w:t>
      </w:r>
      <w:r>
        <w:rPr>
          <w:sz w:val="22"/>
        </w:rPr>
        <w:t>confirm</w:t>
      </w:r>
      <w:r>
        <w:rPr>
          <w:spacing w:val="-3"/>
          <w:sz w:val="22"/>
        </w:rPr>
        <w:t> </w:t>
      </w:r>
      <w:r>
        <w:rPr>
          <w:sz w:val="22"/>
        </w:rPr>
        <w:t>that</w:t>
      </w:r>
      <w:r>
        <w:rPr>
          <w:spacing w:val="-2"/>
          <w:sz w:val="22"/>
        </w:rPr>
        <w:t> </w:t>
      </w:r>
      <w:r>
        <w:rPr>
          <w:sz w:val="22"/>
        </w:rPr>
        <w:t>all</w:t>
      </w:r>
      <w:r>
        <w:rPr>
          <w:spacing w:val="-2"/>
          <w:sz w:val="22"/>
        </w:rPr>
        <w:t> </w:t>
      </w:r>
      <w:r>
        <w:rPr>
          <w:sz w:val="22"/>
        </w:rPr>
        <w:t>centre</w:t>
      </w:r>
      <w:r>
        <w:rPr>
          <w:spacing w:val="-2"/>
          <w:sz w:val="22"/>
        </w:rPr>
        <w:t> </w:t>
      </w:r>
      <w:r>
        <w:rPr>
          <w:sz w:val="22"/>
        </w:rPr>
        <w:t>staff</w:t>
      </w:r>
      <w:r>
        <w:rPr>
          <w:spacing w:val="-2"/>
          <w:sz w:val="22"/>
        </w:rPr>
        <w:t> </w:t>
      </w:r>
      <w:r>
        <w:rPr>
          <w:sz w:val="22"/>
        </w:rPr>
        <w:t>involved</w:t>
      </w:r>
      <w:r>
        <w:rPr>
          <w:spacing w:val="-2"/>
          <w:sz w:val="22"/>
        </w:rPr>
        <w:t> </w:t>
      </w:r>
      <w:r>
        <w:rPr>
          <w:sz w:val="22"/>
        </w:rPr>
        <w:t>in</w:t>
      </w:r>
      <w:r>
        <w:rPr>
          <w:spacing w:val="-2"/>
          <w:sz w:val="22"/>
        </w:rPr>
        <w:t> </w:t>
      </w:r>
      <w:r>
        <w:rPr>
          <w:sz w:val="22"/>
        </w:rPr>
        <w:t>the</w:t>
      </w:r>
      <w:r>
        <w:rPr>
          <w:spacing w:val="-2"/>
          <w:sz w:val="22"/>
        </w:rPr>
        <w:t> </w:t>
      </w:r>
      <w:r>
        <w:rPr>
          <w:sz w:val="22"/>
        </w:rPr>
        <w:t>marking</w:t>
      </w:r>
      <w:r>
        <w:rPr>
          <w:spacing w:val="-2"/>
          <w:sz w:val="22"/>
        </w:rPr>
        <w:t> </w:t>
      </w:r>
      <w:r>
        <w:rPr>
          <w:sz w:val="22"/>
        </w:rPr>
        <w:t>and</w:t>
      </w:r>
      <w:r>
        <w:rPr>
          <w:spacing w:val="-2"/>
          <w:sz w:val="22"/>
        </w:rPr>
        <w:t> </w:t>
      </w:r>
      <w:r>
        <w:rPr>
          <w:sz w:val="22"/>
        </w:rPr>
        <w:t>quality</w:t>
      </w:r>
      <w:r>
        <w:rPr>
          <w:spacing w:val="-2"/>
          <w:sz w:val="22"/>
        </w:rPr>
        <w:t> </w:t>
      </w:r>
      <w:r>
        <w:rPr>
          <w:sz w:val="22"/>
        </w:rPr>
        <w:t>assurance</w:t>
      </w:r>
      <w:r>
        <w:rPr>
          <w:spacing w:val="-2"/>
          <w:sz w:val="22"/>
        </w:rPr>
        <w:t> </w:t>
      </w:r>
      <w:r>
        <w:rPr>
          <w:sz w:val="22"/>
        </w:rPr>
        <w:t>of</w:t>
      </w:r>
      <w:r>
        <w:rPr>
          <w:spacing w:val="-2"/>
          <w:sz w:val="22"/>
        </w:rPr>
        <w:t> </w:t>
      </w:r>
      <w:r>
        <w:rPr>
          <w:sz w:val="22"/>
        </w:rPr>
        <w:t>the</w:t>
      </w:r>
      <w:r>
        <w:rPr>
          <w:spacing w:val="-3"/>
          <w:sz w:val="22"/>
        </w:rPr>
        <w:t> </w:t>
      </w:r>
      <w:r>
        <w:rPr>
          <w:sz w:val="22"/>
        </w:rPr>
        <w:t>assessment</w:t>
      </w:r>
      <w:r>
        <w:rPr>
          <w:spacing w:val="-2"/>
          <w:sz w:val="22"/>
        </w:rPr>
        <w:t> </w:t>
      </w:r>
      <w:r>
        <w:rPr>
          <w:sz w:val="22"/>
        </w:rPr>
        <w:t>for</w:t>
      </w:r>
      <w:r>
        <w:rPr>
          <w:spacing w:val="-2"/>
          <w:sz w:val="22"/>
        </w:rPr>
        <w:t> </w:t>
      </w:r>
      <w:r>
        <w:rPr>
          <w:sz w:val="22"/>
        </w:rPr>
        <w:t>the Occupational Specialism (indicated below) have reviewed the centre standardisation pack for the relevant Occupational Specialism, the marking guide, the threshold competence and distinction guide, and the Guide Standard Exemplification Material (GSEM).</w:t>
      </w:r>
    </w:p>
    <w:p>
      <w:pPr>
        <w:pStyle w:val="ListParagraph"/>
        <w:numPr>
          <w:ilvl w:val="0"/>
          <w:numId w:val="1"/>
        </w:numPr>
        <w:tabs>
          <w:tab w:pos="464" w:val="left" w:leader="none"/>
        </w:tabs>
        <w:spacing w:line="240" w:lineRule="auto" w:before="0" w:after="0"/>
        <w:ind w:left="417" w:right="571" w:hanging="307"/>
        <w:jc w:val="left"/>
        <w:rPr>
          <w:sz w:val="22"/>
        </w:rPr>
      </w:pPr>
      <w:r>
        <w:rPr/>
        <w:tab/>
      </w:r>
      <w:r>
        <w:rPr>
          <w:sz w:val="22"/>
        </w:rPr>
        <w:t>I confirm that all centre staff involved in the marking and quality assurance of the Occupational Specialist</w:t>
      </w:r>
      <w:r>
        <w:rPr>
          <w:spacing w:val="-4"/>
          <w:sz w:val="22"/>
        </w:rPr>
        <w:t> </w:t>
      </w:r>
      <w:r>
        <w:rPr>
          <w:sz w:val="22"/>
        </w:rPr>
        <w:t>assessment</w:t>
      </w:r>
      <w:r>
        <w:rPr>
          <w:spacing w:val="-4"/>
          <w:sz w:val="22"/>
        </w:rPr>
        <w:t> </w:t>
      </w:r>
      <w:r>
        <w:rPr>
          <w:sz w:val="22"/>
        </w:rPr>
        <w:t>(indicated</w:t>
      </w:r>
      <w:r>
        <w:rPr>
          <w:spacing w:val="-4"/>
          <w:sz w:val="22"/>
        </w:rPr>
        <w:t> </w:t>
      </w:r>
      <w:r>
        <w:rPr>
          <w:sz w:val="22"/>
        </w:rPr>
        <w:t>below)</w:t>
      </w:r>
      <w:r>
        <w:rPr>
          <w:spacing w:val="-4"/>
          <w:sz w:val="22"/>
        </w:rPr>
        <w:t> </w:t>
      </w:r>
      <w:r>
        <w:rPr>
          <w:sz w:val="22"/>
        </w:rPr>
        <w:t>have</w:t>
      </w:r>
      <w:r>
        <w:rPr>
          <w:spacing w:val="-4"/>
          <w:sz w:val="22"/>
        </w:rPr>
        <w:t> </w:t>
      </w:r>
      <w:r>
        <w:rPr>
          <w:sz w:val="22"/>
        </w:rPr>
        <w:t>undergone</w:t>
      </w:r>
      <w:r>
        <w:rPr>
          <w:spacing w:val="-4"/>
          <w:sz w:val="22"/>
        </w:rPr>
        <w:t> </w:t>
      </w:r>
      <w:r>
        <w:rPr>
          <w:sz w:val="22"/>
        </w:rPr>
        <w:t>marking</w:t>
      </w:r>
      <w:r>
        <w:rPr>
          <w:spacing w:val="-4"/>
          <w:sz w:val="22"/>
        </w:rPr>
        <w:t> </w:t>
      </w:r>
      <w:r>
        <w:rPr>
          <w:sz w:val="22"/>
        </w:rPr>
        <w:t>standardisation*</w:t>
      </w:r>
      <w:r>
        <w:rPr>
          <w:spacing w:val="-4"/>
          <w:sz w:val="22"/>
        </w:rPr>
        <w:t> </w:t>
      </w:r>
      <w:r>
        <w:rPr>
          <w:sz w:val="22"/>
        </w:rPr>
        <w:t>and</w:t>
      </w:r>
      <w:r>
        <w:rPr>
          <w:spacing w:val="-4"/>
          <w:sz w:val="22"/>
        </w:rPr>
        <w:t> </w:t>
      </w:r>
      <w:r>
        <w:rPr>
          <w:sz w:val="22"/>
        </w:rPr>
        <w:t>have</w:t>
      </w:r>
      <w:r>
        <w:rPr>
          <w:spacing w:val="-1"/>
          <w:sz w:val="22"/>
        </w:rPr>
        <w:t> </w:t>
      </w:r>
      <w:r>
        <w:rPr>
          <w:sz w:val="22"/>
        </w:rPr>
        <w:t>been approved to mark.</w:t>
      </w:r>
    </w:p>
    <w:p>
      <w:pPr>
        <w:pStyle w:val="BodyText"/>
        <w:spacing w:before="1"/>
      </w:pPr>
    </w:p>
    <w:tbl>
      <w:tblPr>
        <w:tblW w:w="0" w:type="auto"/>
        <w:jc w:val="left"/>
        <w:tblCellSpacing w:w="7" w:type="dxa"/>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87"/>
      </w:tblGrid>
      <w:tr>
        <w:trPr>
          <w:trHeight w:val="568" w:hRule="atLeast"/>
        </w:trPr>
        <w:tc>
          <w:tcPr>
            <w:tcW w:w="10187" w:type="dxa"/>
            <w:shd w:val="clear" w:color="auto" w:fill="DA291C"/>
          </w:tcPr>
          <w:p>
            <w:pPr>
              <w:pStyle w:val="TableParagraph"/>
              <w:spacing w:before="120"/>
              <w:ind w:left="100"/>
              <w:rPr>
                <w:b/>
                <w:sz w:val="22"/>
              </w:rPr>
            </w:pPr>
            <w:r>
              <w:rPr>
                <w:b/>
                <w:color w:val="FFFFFF"/>
                <w:sz w:val="22"/>
              </w:rPr>
              <w:t>Assessor</w:t>
            </w:r>
            <w:r>
              <w:rPr>
                <w:b/>
                <w:color w:val="FFFFFF"/>
                <w:spacing w:val="-7"/>
                <w:sz w:val="22"/>
              </w:rPr>
              <w:t> </w:t>
            </w:r>
            <w:r>
              <w:rPr>
                <w:b/>
                <w:color w:val="FFFFFF"/>
                <w:sz w:val="22"/>
              </w:rPr>
              <w:t>/</w:t>
            </w:r>
            <w:r>
              <w:rPr>
                <w:b/>
                <w:color w:val="FFFFFF"/>
                <w:spacing w:val="-5"/>
                <w:sz w:val="22"/>
              </w:rPr>
              <w:t> </w:t>
            </w:r>
            <w:r>
              <w:rPr>
                <w:b/>
                <w:color w:val="FFFFFF"/>
                <w:sz w:val="22"/>
              </w:rPr>
              <w:t>IQA</w:t>
            </w:r>
            <w:r>
              <w:rPr>
                <w:b/>
                <w:color w:val="FFFFFF"/>
                <w:spacing w:val="-6"/>
                <w:sz w:val="22"/>
              </w:rPr>
              <w:t> </w:t>
            </w:r>
            <w:r>
              <w:rPr>
                <w:b/>
                <w:color w:val="FFFFFF"/>
                <w:spacing w:val="-2"/>
                <w:sz w:val="22"/>
              </w:rPr>
              <w:t>name(s):</w:t>
            </w:r>
          </w:p>
        </w:tc>
      </w:tr>
      <w:tr>
        <w:trPr>
          <w:trHeight w:val="569" w:hRule="atLeast"/>
        </w:trPr>
        <w:tc>
          <w:tcPr>
            <w:tcW w:w="10187" w:type="dxa"/>
            <w:shd w:val="clear" w:color="auto" w:fill="F7F7F7"/>
          </w:tcPr>
          <w:p>
            <w:pPr>
              <w:pStyle w:val="TableParagraph"/>
              <w:rPr>
                <w:rFonts w:ascii="Times New Roman"/>
                <w:sz w:val="22"/>
              </w:rPr>
            </w:pPr>
          </w:p>
        </w:tc>
      </w:tr>
      <w:tr>
        <w:trPr>
          <w:trHeight w:val="568" w:hRule="atLeast"/>
        </w:trPr>
        <w:tc>
          <w:tcPr>
            <w:tcW w:w="10187" w:type="dxa"/>
            <w:shd w:val="clear" w:color="auto" w:fill="ECECED"/>
          </w:tcPr>
          <w:p>
            <w:pPr>
              <w:pStyle w:val="TableParagraph"/>
              <w:rPr>
                <w:rFonts w:ascii="Times New Roman"/>
                <w:sz w:val="22"/>
              </w:rPr>
            </w:pPr>
          </w:p>
        </w:tc>
      </w:tr>
      <w:tr>
        <w:trPr>
          <w:trHeight w:val="569" w:hRule="atLeast"/>
        </w:trPr>
        <w:tc>
          <w:tcPr>
            <w:tcW w:w="10187" w:type="dxa"/>
            <w:shd w:val="clear" w:color="auto" w:fill="F7F7F7"/>
          </w:tcPr>
          <w:p>
            <w:pPr>
              <w:pStyle w:val="TableParagraph"/>
              <w:rPr>
                <w:rFonts w:ascii="Times New Roman"/>
                <w:sz w:val="22"/>
              </w:rPr>
            </w:pPr>
          </w:p>
        </w:tc>
      </w:tr>
      <w:tr>
        <w:trPr>
          <w:trHeight w:val="569" w:hRule="atLeast"/>
        </w:trPr>
        <w:tc>
          <w:tcPr>
            <w:tcW w:w="10187" w:type="dxa"/>
            <w:shd w:val="clear" w:color="auto" w:fill="ECECED"/>
          </w:tcPr>
          <w:p>
            <w:pPr>
              <w:pStyle w:val="TableParagraph"/>
              <w:rPr>
                <w:rFonts w:ascii="Times New Roman"/>
                <w:sz w:val="22"/>
              </w:rPr>
            </w:pPr>
          </w:p>
        </w:tc>
      </w:tr>
    </w:tbl>
    <w:p>
      <w:pPr>
        <w:pStyle w:val="BodyText"/>
        <w:rPr>
          <w:sz w:val="20"/>
        </w:rPr>
      </w:pPr>
    </w:p>
    <w:p>
      <w:pPr>
        <w:pStyle w:val="BodyText"/>
        <w:spacing w:before="6" w:after="1"/>
        <w:rPr>
          <w:sz w:val="18"/>
        </w:rPr>
      </w:pPr>
    </w:p>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50"/>
        <w:gridCol w:w="5237"/>
      </w:tblGrid>
      <w:tr>
        <w:trPr>
          <w:trHeight w:val="567" w:hRule="atLeast"/>
        </w:trPr>
        <w:tc>
          <w:tcPr>
            <w:tcW w:w="4950" w:type="dxa"/>
            <w:tcBorders>
              <w:bottom w:val="single" w:sz="6" w:space="0" w:color="FFFFFF"/>
            </w:tcBorders>
            <w:shd w:val="clear" w:color="auto" w:fill="737379"/>
          </w:tcPr>
          <w:p>
            <w:pPr>
              <w:pStyle w:val="TableParagraph"/>
              <w:spacing w:before="157"/>
              <w:ind w:left="100"/>
              <w:rPr>
                <w:b/>
                <w:sz w:val="22"/>
              </w:rPr>
            </w:pPr>
            <w:r>
              <w:rPr>
                <w:b/>
                <w:color w:val="FFFFFF"/>
                <w:sz w:val="22"/>
              </w:rPr>
              <w:t>Centre</w:t>
            </w:r>
            <w:r>
              <w:rPr>
                <w:b/>
                <w:color w:val="FFFFFF"/>
                <w:spacing w:val="-8"/>
                <w:sz w:val="22"/>
              </w:rPr>
              <w:t> </w:t>
            </w:r>
            <w:r>
              <w:rPr>
                <w:b/>
                <w:color w:val="FFFFFF"/>
                <w:sz w:val="22"/>
              </w:rPr>
              <w:t>contact</w:t>
            </w:r>
            <w:r>
              <w:rPr>
                <w:b/>
                <w:color w:val="FFFFFF"/>
                <w:spacing w:val="-8"/>
                <w:sz w:val="22"/>
              </w:rPr>
              <w:t> </w:t>
            </w:r>
            <w:r>
              <w:rPr>
                <w:b/>
                <w:color w:val="FFFFFF"/>
                <w:spacing w:val="-2"/>
                <w:sz w:val="22"/>
              </w:rPr>
              <w:t>name:</w:t>
            </w:r>
          </w:p>
        </w:tc>
        <w:tc>
          <w:tcPr>
            <w:tcW w:w="5237" w:type="dxa"/>
            <w:tcBorders>
              <w:bottom w:val="single" w:sz="6" w:space="0" w:color="FFFFFF"/>
            </w:tcBorders>
            <w:shd w:val="clear" w:color="auto" w:fill="737379"/>
          </w:tcPr>
          <w:p>
            <w:pPr>
              <w:pStyle w:val="TableParagraph"/>
              <w:spacing w:before="157"/>
              <w:ind w:left="108"/>
              <w:rPr>
                <w:b/>
                <w:sz w:val="22"/>
              </w:rPr>
            </w:pPr>
            <w:r>
              <w:rPr>
                <w:b/>
                <w:color w:val="FFFFFF"/>
                <w:spacing w:val="-2"/>
                <w:sz w:val="22"/>
              </w:rPr>
              <w:t>Date:</w:t>
            </w:r>
          </w:p>
        </w:tc>
      </w:tr>
      <w:tr>
        <w:trPr>
          <w:trHeight w:val="506" w:hRule="atLeast"/>
        </w:trPr>
        <w:tc>
          <w:tcPr>
            <w:tcW w:w="4950" w:type="dxa"/>
            <w:tcBorders>
              <w:top w:val="single" w:sz="6" w:space="0" w:color="FFFFFF"/>
            </w:tcBorders>
            <w:shd w:val="clear" w:color="auto" w:fill="F7F7F7"/>
          </w:tcPr>
          <w:p>
            <w:pPr>
              <w:pStyle w:val="TableParagraph"/>
              <w:rPr>
                <w:rFonts w:ascii="Times New Roman"/>
                <w:sz w:val="22"/>
              </w:rPr>
            </w:pPr>
          </w:p>
        </w:tc>
        <w:tc>
          <w:tcPr>
            <w:tcW w:w="5237" w:type="dxa"/>
            <w:tcBorders>
              <w:top w:val="single" w:sz="6" w:space="0" w:color="FFFFFF"/>
            </w:tcBorders>
            <w:shd w:val="clear" w:color="auto" w:fill="F7F7F7"/>
          </w:tcPr>
          <w:p>
            <w:pPr>
              <w:pStyle w:val="TableParagraph"/>
              <w:rPr>
                <w:rFonts w:ascii="Times New Roman"/>
                <w:sz w:val="22"/>
              </w:rPr>
            </w:pPr>
          </w:p>
        </w:tc>
      </w:tr>
    </w:tbl>
    <w:p>
      <w:pPr>
        <w:pStyle w:val="BodyText"/>
        <w:rPr>
          <w:sz w:val="24"/>
        </w:rPr>
      </w:pPr>
    </w:p>
    <w:p>
      <w:pPr>
        <w:spacing w:before="176"/>
        <w:ind w:left="110" w:right="0" w:firstLine="0"/>
        <w:jc w:val="left"/>
        <w:rPr>
          <w:i/>
          <w:sz w:val="20"/>
        </w:rPr>
      </w:pPr>
      <w:r>
        <w:rPr>
          <w:i/>
          <w:sz w:val="20"/>
        </w:rPr>
        <w:t>For</w:t>
      </w:r>
      <w:r>
        <w:rPr>
          <w:i/>
          <w:spacing w:val="-1"/>
          <w:sz w:val="20"/>
        </w:rPr>
        <w:t> </w:t>
      </w:r>
      <w:r>
        <w:rPr>
          <w:i/>
          <w:sz w:val="20"/>
        </w:rPr>
        <w:t>detailed</w:t>
      </w:r>
      <w:r>
        <w:rPr>
          <w:i/>
          <w:spacing w:val="-2"/>
          <w:sz w:val="20"/>
        </w:rPr>
        <w:t> </w:t>
      </w:r>
      <w:r>
        <w:rPr>
          <w:i/>
          <w:sz w:val="20"/>
        </w:rPr>
        <w:t>information</w:t>
      </w:r>
      <w:r>
        <w:rPr>
          <w:i/>
          <w:spacing w:val="-2"/>
          <w:sz w:val="20"/>
        </w:rPr>
        <w:t> </w:t>
      </w:r>
      <w:r>
        <w:rPr>
          <w:i/>
          <w:sz w:val="20"/>
        </w:rPr>
        <w:t>on</w:t>
      </w:r>
      <w:r>
        <w:rPr>
          <w:i/>
          <w:spacing w:val="-3"/>
          <w:sz w:val="20"/>
        </w:rPr>
        <w:t> </w:t>
      </w:r>
      <w:r>
        <w:rPr>
          <w:i/>
          <w:sz w:val="20"/>
        </w:rPr>
        <w:t>the</w:t>
      </w:r>
      <w:r>
        <w:rPr>
          <w:i/>
          <w:spacing w:val="-2"/>
          <w:sz w:val="20"/>
        </w:rPr>
        <w:t> </w:t>
      </w:r>
      <w:r>
        <w:rPr>
          <w:i/>
          <w:sz w:val="20"/>
        </w:rPr>
        <w:t>standardisation</w:t>
      </w:r>
      <w:r>
        <w:rPr>
          <w:i/>
          <w:spacing w:val="-2"/>
          <w:sz w:val="20"/>
        </w:rPr>
        <w:t> </w:t>
      </w:r>
      <w:r>
        <w:rPr>
          <w:i/>
          <w:sz w:val="20"/>
        </w:rPr>
        <w:t>process</w:t>
      </w:r>
      <w:r>
        <w:rPr>
          <w:i/>
          <w:spacing w:val="-1"/>
          <w:sz w:val="20"/>
        </w:rPr>
        <w:t> </w:t>
      </w:r>
      <w:r>
        <w:rPr>
          <w:i/>
          <w:sz w:val="20"/>
        </w:rPr>
        <w:t>and</w:t>
      </w:r>
      <w:r>
        <w:rPr>
          <w:i/>
          <w:spacing w:val="-3"/>
          <w:sz w:val="20"/>
        </w:rPr>
        <w:t> </w:t>
      </w:r>
      <w:r>
        <w:rPr>
          <w:i/>
          <w:sz w:val="20"/>
        </w:rPr>
        <w:t>supporting</w:t>
      </w:r>
      <w:r>
        <w:rPr>
          <w:i/>
          <w:spacing w:val="-2"/>
          <w:sz w:val="20"/>
        </w:rPr>
        <w:t> </w:t>
      </w:r>
      <w:r>
        <w:rPr>
          <w:i/>
          <w:sz w:val="20"/>
        </w:rPr>
        <w:t>documents,</w:t>
      </w:r>
      <w:r>
        <w:rPr>
          <w:i/>
          <w:spacing w:val="-2"/>
          <w:sz w:val="20"/>
        </w:rPr>
        <w:t> </w:t>
      </w:r>
      <w:r>
        <w:rPr>
          <w:i/>
          <w:sz w:val="20"/>
        </w:rPr>
        <w:t>please</w:t>
      </w:r>
      <w:r>
        <w:rPr>
          <w:i/>
          <w:spacing w:val="-2"/>
          <w:sz w:val="20"/>
        </w:rPr>
        <w:t> </w:t>
      </w:r>
      <w:r>
        <w:rPr>
          <w:i/>
          <w:sz w:val="20"/>
        </w:rPr>
        <w:t>see</w:t>
      </w:r>
      <w:r>
        <w:rPr>
          <w:i/>
          <w:spacing w:val="-3"/>
          <w:sz w:val="20"/>
        </w:rPr>
        <w:t> </w:t>
      </w:r>
      <w:r>
        <w:rPr>
          <w:i/>
          <w:sz w:val="20"/>
        </w:rPr>
        <w:t>the</w:t>
      </w:r>
      <w:r>
        <w:rPr>
          <w:i/>
          <w:spacing w:val="-2"/>
          <w:sz w:val="20"/>
        </w:rPr>
        <w:t> </w:t>
      </w:r>
      <w:r>
        <w:rPr>
          <w:i/>
          <w:sz w:val="20"/>
        </w:rPr>
        <w:t>City</w:t>
      </w:r>
      <w:r>
        <w:rPr>
          <w:i/>
          <w:spacing w:val="-1"/>
          <w:sz w:val="20"/>
        </w:rPr>
        <w:t> </w:t>
      </w:r>
      <w:r>
        <w:rPr>
          <w:i/>
          <w:sz w:val="20"/>
        </w:rPr>
        <w:t>&amp;</w:t>
      </w:r>
      <w:r>
        <w:rPr>
          <w:i/>
          <w:spacing w:val="-2"/>
          <w:sz w:val="20"/>
        </w:rPr>
        <w:t> </w:t>
      </w:r>
      <w:r>
        <w:rPr>
          <w:i/>
          <w:sz w:val="20"/>
        </w:rPr>
        <w:t>Guilds</w:t>
      </w:r>
      <w:r>
        <w:rPr>
          <w:i/>
          <w:spacing w:val="-1"/>
          <w:sz w:val="20"/>
        </w:rPr>
        <w:t> </w:t>
      </w:r>
      <w:r>
        <w:rPr>
          <w:i/>
          <w:sz w:val="20"/>
        </w:rPr>
        <w:t>T</w:t>
      </w:r>
      <w:r>
        <w:rPr>
          <w:i/>
          <w:sz w:val="20"/>
        </w:rPr>
        <w:t> Levels – </w:t>
      </w:r>
      <w:hyperlink r:id="rId6">
        <w:r>
          <w:rPr>
            <w:i/>
            <w:color w:val="0562C1"/>
            <w:sz w:val="20"/>
            <w:u w:val="single" w:color="0562C1"/>
          </w:rPr>
          <w:t>Resource Hub</w:t>
        </w:r>
      </w:hyperlink>
    </w:p>
    <w:p>
      <w:pPr>
        <w:pStyle w:val="BodyText"/>
        <w:spacing w:before="9"/>
        <w:rPr>
          <w:i/>
          <w:sz w:val="19"/>
        </w:rPr>
      </w:pPr>
    </w:p>
    <w:p>
      <w:pPr>
        <w:spacing w:line="230" w:lineRule="auto" w:before="101"/>
        <w:ind w:left="113" w:right="6890" w:firstLine="0"/>
        <w:jc w:val="left"/>
        <w:rPr>
          <w:sz w:val="14"/>
        </w:rPr>
      </w:pPr>
      <w:r>
        <w:rPr>
          <w:sz w:val="14"/>
        </w:rPr>
        <w:t>T</w:t>
      </w:r>
      <w:r>
        <w:rPr>
          <w:spacing w:val="-4"/>
          <w:sz w:val="14"/>
        </w:rPr>
        <w:t> </w:t>
      </w:r>
      <w:r>
        <w:rPr>
          <w:sz w:val="14"/>
        </w:rPr>
        <w:t>Levels</w:t>
      </w:r>
      <w:r>
        <w:rPr>
          <w:spacing w:val="-5"/>
          <w:sz w:val="14"/>
        </w:rPr>
        <w:t> </w:t>
      </w:r>
      <w:r>
        <w:rPr>
          <w:sz w:val="14"/>
        </w:rPr>
        <w:t>–</w:t>
      </w:r>
      <w:r>
        <w:rPr>
          <w:spacing w:val="-5"/>
          <w:sz w:val="14"/>
        </w:rPr>
        <w:t> </w:t>
      </w:r>
      <w:r>
        <w:rPr>
          <w:sz w:val="14"/>
        </w:rPr>
        <w:t>Gateway</w:t>
      </w:r>
      <w:r>
        <w:rPr>
          <w:spacing w:val="-4"/>
          <w:sz w:val="14"/>
        </w:rPr>
        <w:t> </w:t>
      </w:r>
      <w:r>
        <w:rPr>
          <w:sz w:val="14"/>
        </w:rPr>
        <w:t>Standardisation</w:t>
      </w:r>
      <w:r>
        <w:rPr>
          <w:spacing w:val="-5"/>
          <w:sz w:val="14"/>
        </w:rPr>
        <w:t> </w:t>
      </w:r>
      <w:r>
        <w:rPr>
          <w:sz w:val="14"/>
        </w:rPr>
        <w:t>Test</w:t>
      </w:r>
      <w:r>
        <w:rPr>
          <w:spacing w:val="-6"/>
          <w:sz w:val="14"/>
        </w:rPr>
        <w:t> </w:t>
      </w:r>
      <w:r>
        <w:rPr>
          <w:sz w:val="14"/>
        </w:rPr>
        <w:t>Declaration</w:t>
      </w:r>
      <w:r>
        <w:rPr>
          <w:spacing w:val="40"/>
          <w:sz w:val="14"/>
        </w:rPr>
        <w:t> </w:t>
      </w:r>
      <w:r>
        <w:rPr>
          <w:sz w:val="14"/>
        </w:rPr>
        <w:t>V1.0 Jan 2023</w:t>
      </w:r>
    </w:p>
    <w:sectPr>
      <w:type w:val="continuous"/>
      <w:pgSz w:w="11910" w:h="16840"/>
      <w:pgMar w:top="720" w:bottom="280" w:left="7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17" w:hanging="353"/>
      </w:pPr>
      <w:rPr>
        <w:rFonts w:hint="default" w:ascii="Arial" w:hAnsi="Arial" w:eastAsia="Arial" w:cs="Arial"/>
        <w:b w:val="0"/>
        <w:bCs w:val="0"/>
        <w:i w:val="0"/>
        <w:iCs w:val="0"/>
        <w:w w:val="99"/>
        <w:sz w:val="40"/>
        <w:szCs w:val="40"/>
        <w:lang w:val="en-US" w:eastAsia="en-US" w:bidi="ar-SA"/>
      </w:rPr>
    </w:lvl>
    <w:lvl w:ilvl="1">
      <w:start w:val="0"/>
      <w:numFmt w:val="bullet"/>
      <w:lvlText w:val="•"/>
      <w:lvlJc w:val="left"/>
      <w:pPr>
        <w:ind w:left="1432" w:hanging="353"/>
      </w:pPr>
      <w:rPr>
        <w:rFonts w:hint="default"/>
        <w:lang w:val="en-US" w:eastAsia="en-US" w:bidi="ar-SA"/>
      </w:rPr>
    </w:lvl>
    <w:lvl w:ilvl="2">
      <w:start w:val="0"/>
      <w:numFmt w:val="bullet"/>
      <w:lvlText w:val="•"/>
      <w:lvlJc w:val="left"/>
      <w:pPr>
        <w:ind w:left="2444" w:hanging="353"/>
      </w:pPr>
      <w:rPr>
        <w:rFonts w:hint="default"/>
        <w:lang w:val="en-US" w:eastAsia="en-US" w:bidi="ar-SA"/>
      </w:rPr>
    </w:lvl>
    <w:lvl w:ilvl="3">
      <w:start w:val="0"/>
      <w:numFmt w:val="bullet"/>
      <w:lvlText w:val="•"/>
      <w:lvlJc w:val="left"/>
      <w:pPr>
        <w:ind w:left="3456" w:hanging="353"/>
      </w:pPr>
      <w:rPr>
        <w:rFonts w:hint="default"/>
        <w:lang w:val="en-US" w:eastAsia="en-US" w:bidi="ar-SA"/>
      </w:rPr>
    </w:lvl>
    <w:lvl w:ilvl="4">
      <w:start w:val="0"/>
      <w:numFmt w:val="bullet"/>
      <w:lvlText w:val="•"/>
      <w:lvlJc w:val="left"/>
      <w:pPr>
        <w:ind w:left="4468" w:hanging="353"/>
      </w:pPr>
      <w:rPr>
        <w:rFonts w:hint="default"/>
        <w:lang w:val="en-US" w:eastAsia="en-US" w:bidi="ar-SA"/>
      </w:rPr>
    </w:lvl>
    <w:lvl w:ilvl="5">
      <w:start w:val="0"/>
      <w:numFmt w:val="bullet"/>
      <w:lvlText w:val="•"/>
      <w:lvlJc w:val="left"/>
      <w:pPr>
        <w:ind w:left="5480" w:hanging="353"/>
      </w:pPr>
      <w:rPr>
        <w:rFonts w:hint="default"/>
        <w:lang w:val="en-US" w:eastAsia="en-US" w:bidi="ar-SA"/>
      </w:rPr>
    </w:lvl>
    <w:lvl w:ilvl="6">
      <w:start w:val="0"/>
      <w:numFmt w:val="bullet"/>
      <w:lvlText w:val="•"/>
      <w:lvlJc w:val="left"/>
      <w:pPr>
        <w:ind w:left="6492" w:hanging="353"/>
      </w:pPr>
      <w:rPr>
        <w:rFonts w:hint="default"/>
        <w:lang w:val="en-US" w:eastAsia="en-US" w:bidi="ar-SA"/>
      </w:rPr>
    </w:lvl>
    <w:lvl w:ilvl="7">
      <w:start w:val="0"/>
      <w:numFmt w:val="bullet"/>
      <w:lvlText w:val="•"/>
      <w:lvlJc w:val="left"/>
      <w:pPr>
        <w:ind w:left="7504" w:hanging="353"/>
      </w:pPr>
      <w:rPr>
        <w:rFonts w:hint="default"/>
        <w:lang w:val="en-US" w:eastAsia="en-US" w:bidi="ar-SA"/>
      </w:rPr>
    </w:lvl>
    <w:lvl w:ilvl="8">
      <w:start w:val="0"/>
      <w:numFmt w:val="bullet"/>
      <w:lvlText w:val="•"/>
      <w:lvlJc w:val="left"/>
      <w:pPr>
        <w:ind w:left="8516" w:hanging="35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spacing w:before="86"/>
      <w:ind w:left="110"/>
    </w:pPr>
    <w:rPr>
      <w:rFonts w:ascii="Arial" w:hAnsi="Arial" w:eastAsia="Arial" w:cs="Arial"/>
      <w:b/>
      <w:bCs/>
      <w:sz w:val="44"/>
      <w:szCs w:val="44"/>
      <w:lang w:val="en-US" w:eastAsia="en-US" w:bidi="ar-SA"/>
    </w:rPr>
  </w:style>
  <w:style w:styleId="ListParagraph" w:type="paragraph">
    <w:name w:val="List Paragraph"/>
    <w:basedOn w:val="Normal"/>
    <w:uiPriority w:val="1"/>
    <w:qFormat/>
    <w:pPr>
      <w:ind w:left="417" w:right="328" w:hanging="307"/>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cityandguilds.com/tlevels/resources"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City &amp; Guilds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White</dc:creator>
  <dc:description/>
  <dcterms:created xsi:type="dcterms:W3CDTF">2023-01-23T14:09:54Z</dcterms:created>
  <dcterms:modified xsi:type="dcterms:W3CDTF">2023-01-23T14:09:54Z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0x0101001DAE87EFC18B8A44A96660D6811B678A</vt:lpwstr>
  </property>
  <property fmtid="{D5CDD505-2E9C-101B-9397-08002B2CF9AE}" pid="3" name="Created">
    <vt:filetime>2023-01-19T00:00:00Z</vt:filetime>
  </property>
  <property fmtid="{D5CDD505-2E9C-101B-9397-08002B2CF9AE}" pid="4" name="Creator">
    <vt:lpwstr>Acrobat PDFMaker 22 for Word</vt:lpwstr>
  </property>
  <property fmtid="{D5CDD505-2E9C-101B-9397-08002B2CF9AE}" pid="5" name="LastSaved">
    <vt:filetime>2023-01-23T00:00:00Z</vt:filetime>
  </property>
  <property fmtid="{D5CDD505-2E9C-101B-9397-08002B2CF9AE}" pid="6" name="Producer">
    <vt:lpwstr>Adobe PDF Library 22.3.86</vt:lpwstr>
  </property>
  <property fmtid="{D5CDD505-2E9C-101B-9397-08002B2CF9AE}" pid="7" name="SourceModified">
    <vt:lpwstr>D:20230119094457</vt:lpwstr>
  </property>
</Properties>
</file>